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F00B09" w:rsidP="00C2353F">
      <w:pPr>
        <w:pStyle w:val="NormalWeb"/>
        <w:spacing w:before="0" w:beforeAutospacing="0" w:after="0" w:afterAutospacing="0"/>
        <w:ind w:right="-15"/>
        <w:jc w:val="center"/>
        <w:divId w:val="2064015615"/>
        <w:rPr>
          <w:color w:val="000000"/>
        </w:rPr>
      </w:pPr>
      <w:r>
        <w:rPr>
          <w:rStyle w:val="Strong"/>
          <w:color w:val="000000"/>
          <w:sz w:val="30"/>
          <w:szCs w:val="30"/>
        </w:rPr>
        <w:t>Ph</w:t>
      </w:r>
      <w:r>
        <w:rPr>
          <w:rStyle w:val="Strong"/>
          <w:color w:val="000000"/>
          <w:sz w:val="30"/>
          <w:szCs w:val="30"/>
        </w:rPr>
        <w:t>ụ</w:t>
      </w:r>
      <w:r>
        <w:rPr>
          <w:rStyle w:val="Strong"/>
          <w:color w:val="000000"/>
          <w:sz w:val="30"/>
          <w:szCs w:val="30"/>
        </w:rPr>
        <w:t xml:space="preserve"> l</w:t>
      </w:r>
      <w:r>
        <w:rPr>
          <w:rStyle w:val="Strong"/>
          <w:color w:val="000000"/>
          <w:sz w:val="30"/>
          <w:szCs w:val="30"/>
        </w:rPr>
        <w:t>ụ</w:t>
      </w:r>
      <w:r>
        <w:rPr>
          <w:rStyle w:val="Strong"/>
          <w:color w:val="000000"/>
          <w:sz w:val="30"/>
          <w:szCs w:val="30"/>
        </w:rPr>
        <w:t>c II</w:t>
      </w:r>
    </w:p>
    <w:p w:rsidR="00000000" w:rsidRDefault="00F00B09" w:rsidP="00C2353F">
      <w:pPr>
        <w:pStyle w:val="NormalWeb"/>
        <w:spacing w:before="0" w:beforeAutospacing="0" w:after="0" w:afterAutospacing="0"/>
        <w:jc w:val="center"/>
        <w:divId w:val="2064015615"/>
        <w:rPr>
          <w:color w:val="000000"/>
        </w:rPr>
      </w:pPr>
      <w:r>
        <w:rPr>
          <w:rStyle w:val="Strong"/>
          <w:color w:val="000000"/>
          <w:sz w:val="30"/>
          <w:szCs w:val="30"/>
        </w:rPr>
        <w:t>CHO Ý KI</w:t>
      </w:r>
      <w:r>
        <w:rPr>
          <w:rStyle w:val="Strong"/>
          <w:color w:val="000000"/>
          <w:sz w:val="30"/>
          <w:szCs w:val="30"/>
        </w:rPr>
        <w:t>Ế</w:t>
      </w:r>
      <w:r>
        <w:rPr>
          <w:rStyle w:val="Strong"/>
          <w:color w:val="000000"/>
          <w:sz w:val="30"/>
          <w:szCs w:val="30"/>
        </w:rPr>
        <w:t>N Đ</w:t>
      </w:r>
      <w:r>
        <w:rPr>
          <w:rStyle w:val="Strong"/>
          <w:color w:val="000000"/>
          <w:sz w:val="30"/>
          <w:szCs w:val="30"/>
        </w:rPr>
        <w:t>Ố</w:t>
      </w:r>
      <w:r>
        <w:rPr>
          <w:rStyle w:val="Strong"/>
          <w:color w:val="000000"/>
          <w:sz w:val="30"/>
          <w:szCs w:val="30"/>
        </w:rPr>
        <w:t>I V</w:t>
      </w:r>
      <w:r>
        <w:rPr>
          <w:rStyle w:val="Strong"/>
          <w:color w:val="000000"/>
          <w:sz w:val="30"/>
          <w:szCs w:val="30"/>
        </w:rPr>
        <w:t>Ớ</w:t>
      </w:r>
      <w:r>
        <w:rPr>
          <w:rStyle w:val="Strong"/>
          <w:color w:val="000000"/>
          <w:sz w:val="30"/>
          <w:szCs w:val="30"/>
        </w:rPr>
        <w:t>I K</w:t>
      </w:r>
      <w:r>
        <w:rPr>
          <w:rStyle w:val="Strong"/>
          <w:color w:val="000000"/>
          <w:sz w:val="30"/>
          <w:szCs w:val="30"/>
        </w:rPr>
        <w:t>Ế</w:t>
      </w:r>
      <w:r>
        <w:rPr>
          <w:rStyle w:val="Strong"/>
          <w:color w:val="000000"/>
          <w:sz w:val="30"/>
          <w:szCs w:val="30"/>
        </w:rPr>
        <w:t>T QU</w:t>
      </w:r>
      <w:r>
        <w:rPr>
          <w:rStyle w:val="Strong"/>
          <w:color w:val="000000"/>
          <w:sz w:val="30"/>
          <w:szCs w:val="30"/>
        </w:rPr>
        <w:t>Ả</w:t>
      </w:r>
      <w:r>
        <w:rPr>
          <w:rStyle w:val="Strong"/>
          <w:color w:val="000000"/>
          <w:sz w:val="30"/>
          <w:szCs w:val="30"/>
        </w:rPr>
        <w:t xml:space="preserve"> RÀ SOÁT KHÓ KHĂN, VƯ</w:t>
      </w:r>
      <w:r>
        <w:rPr>
          <w:rStyle w:val="Strong"/>
          <w:color w:val="000000"/>
          <w:sz w:val="30"/>
          <w:szCs w:val="30"/>
        </w:rPr>
        <w:t>Ớ</w:t>
      </w:r>
      <w:r>
        <w:rPr>
          <w:rStyle w:val="Strong"/>
          <w:color w:val="000000"/>
          <w:sz w:val="30"/>
          <w:szCs w:val="30"/>
        </w:rPr>
        <w:t>NG M</w:t>
      </w:r>
      <w:r>
        <w:rPr>
          <w:rStyle w:val="Strong"/>
          <w:color w:val="000000"/>
          <w:sz w:val="30"/>
          <w:szCs w:val="30"/>
        </w:rPr>
        <w:t>Ắ</w:t>
      </w:r>
      <w:r>
        <w:rPr>
          <w:rStyle w:val="Strong"/>
          <w:color w:val="000000"/>
          <w:sz w:val="30"/>
          <w:szCs w:val="30"/>
        </w:rPr>
        <w:t>C DO QUY Đ</w:t>
      </w:r>
      <w:r>
        <w:rPr>
          <w:rStyle w:val="Strong"/>
          <w:color w:val="000000"/>
          <w:sz w:val="30"/>
          <w:szCs w:val="30"/>
        </w:rPr>
        <w:t>Ị</w:t>
      </w:r>
      <w:r>
        <w:rPr>
          <w:rStyle w:val="Strong"/>
          <w:color w:val="000000"/>
          <w:sz w:val="30"/>
          <w:szCs w:val="30"/>
        </w:rPr>
        <w:t>NH PHÁP LU</w:t>
      </w:r>
      <w:r>
        <w:rPr>
          <w:rStyle w:val="Strong"/>
          <w:color w:val="000000"/>
          <w:sz w:val="30"/>
          <w:szCs w:val="30"/>
        </w:rPr>
        <w:t>Ậ</w:t>
      </w:r>
      <w:r>
        <w:rPr>
          <w:rStyle w:val="Strong"/>
          <w:color w:val="000000"/>
          <w:sz w:val="30"/>
          <w:szCs w:val="30"/>
        </w:rPr>
        <w:t>T</w:t>
      </w:r>
    </w:p>
    <w:p w:rsidR="00000000" w:rsidRDefault="00F00B09" w:rsidP="00C2353F">
      <w:pPr>
        <w:pStyle w:val="NormalWeb"/>
        <w:spacing w:before="0" w:beforeAutospacing="0" w:after="0" w:afterAutospacing="0"/>
        <w:jc w:val="center"/>
        <w:divId w:val="2064015615"/>
        <w:rPr>
          <w:color w:val="000000"/>
        </w:rPr>
      </w:pPr>
      <w:r>
        <w:rPr>
          <w:rStyle w:val="Strong"/>
          <w:color w:val="000000"/>
          <w:sz w:val="30"/>
          <w:szCs w:val="30"/>
        </w:rPr>
        <w:t>Tiêu chí: Quy đ</w:t>
      </w:r>
      <w:r>
        <w:rPr>
          <w:rStyle w:val="Strong"/>
          <w:color w:val="000000"/>
          <w:sz w:val="30"/>
          <w:szCs w:val="30"/>
        </w:rPr>
        <w:t>ị</w:t>
      </w:r>
      <w:r>
        <w:rPr>
          <w:rStyle w:val="Strong"/>
          <w:color w:val="000000"/>
          <w:sz w:val="30"/>
          <w:szCs w:val="30"/>
        </w:rPr>
        <w:t>nh c</w:t>
      </w:r>
      <w:r>
        <w:rPr>
          <w:rStyle w:val="Strong"/>
          <w:color w:val="000000"/>
          <w:sz w:val="30"/>
          <w:szCs w:val="30"/>
        </w:rPr>
        <w:t>ủ</w:t>
      </w:r>
      <w:r>
        <w:rPr>
          <w:rStyle w:val="Strong"/>
          <w:color w:val="000000"/>
          <w:sz w:val="30"/>
          <w:szCs w:val="30"/>
        </w:rPr>
        <w:t>a VBQPPL không rõ ràng, có nhi</w:t>
      </w:r>
      <w:r>
        <w:rPr>
          <w:rStyle w:val="Strong"/>
          <w:color w:val="000000"/>
          <w:sz w:val="30"/>
          <w:szCs w:val="30"/>
        </w:rPr>
        <w:t>ề</w:t>
      </w:r>
      <w:r>
        <w:rPr>
          <w:rStyle w:val="Strong"/>
          <w:color w:val="000000"/>
          <w:sz w:val="30"/>
          <w:szCs w:val="30"/>
        </w:rPr>
        <w:t>u cách hi</w:t>
      </w:r>
      <w:r>
        <w:rPr>
          <w:rStyle w:val="Strong"/>
          <w:color w:val="000000"/>
          <w:sz w:val="30"/>
          <w:szCs w:val="30"/>
        </w:rPr>
        <w:t>ể</w:t>
      </w:r>
      <w:r>
        <w:rPr>
          <w:rStyle w:val="Strong"/>
          <w:color w:val="000000"/>
          <w:sz w:val="30"/>
          <w:szCs w:val="30"/>
        </w:rPr>
        <w:t>u khác nhau, không h</w:t>
      </w:r>
      <w:r>
        <w:rPr>
          <w:rStyle w:val="Strong"/>
          <w:color w:val="000000"/>
          <w:sz w:val="30"/>
          <w:szCs w:val="30"/>
        </w:rPr>
        <w:t>ợ</w:t>
      </w:r>
      <w:r>
        <w:rPr>
          <w:rStyle w:val="Strong"/>
          <w:color w:val="000000"/>
          <w:sz w:val="30"/>
          <w:szCs w:val="30"/>
        </w:rPr>
        <w:t>p lý, không kh</w:t>
      </w:r>
      <w:r>
        <w:rPr>
          <w:rStyle w:val="Strong"/>
          <w:color w:val="000000"/>
          <w:sz w:val="30"/>
          <w:szCs w:val="30"/>
        </w:rPr>
        <w:t>ả</w:t>
      </w:r>
      <w:r>
        <w:rPr>
          <w:rStyle w:val="Strong"/>
          <w:color w:val="000000"/>
          <w:sz w:val="30"/>
          <w:szCs w:val="30"/>
        </w:rPr>
        <w:t xml:space="preserve"> thi, gây khó khăn trong áp d</w:t>
      </w:r>
      <w:r>
        <w:rPr>
          <w:rStyle w:val="Strong"/>
          <w:color w:val="000000"/>
          <w:sz w:val="30"/>
          <w:szCs w:val="30"/>
        </w:rPr>
        <w:t>ụ</w:t>
      </w:r>
      <w:r>
        <w:rPr>
          <w:rStyle w:val="Strong"/>
          <w:color w:val="000000"/>
          <w:sz w:val="30"/>
          <w:szCs w:val="30"/>
        </w:rPr>
        <w:t>ng, th</w:t>
      </w:r>
      <w:r>
        <w:rPr>
          <w:rStyle w:val="Strong"/>
          <w:color w:val="000000"/>
          <w:sz w:val="30"/>
          <w:szCs w:val="30"/>
        </w:rPr>
        <w:t>ự</w:t>
      </w:r>
      <w:r>
        <w:rPr>
          <w:rStyle w:val="Strong"/>
          <w:color w:val="000000"/>
          <w:sz w:val="30"/>
          <w:szCs w:val="30"/>
        </w:rPr>
        <w:t>c hi</w:t>
      </w:r>
      <w:r>
        <w:rPr>
          <w:rStyle w:val="Strong"/>
          <w:color w:val="000000"/>
          <w:sz w:val="30"/>
          <w:szCs w:val="30"/>
        </w:rPr>
        <w:t>ệ</w:t>
      </w:r>
      <w:r>
        <w:rPr>
          <w:rStyle w:val="Strong"/>
          <w:color w:val="000000"/>
          <w:sz w:val="30"/>
          <w:szCs w:val="30"/>
        </w:rPr>
        <w:t>n pháp lu</w:t>
      </w:r>
      <w:r>
        <w:rPr>
          <w:rStyle w:val="Strong"/>
          <w:color w:val="000000"/>
          <w:sz w:val="30"/>
          <w:szCs w:val="30"/>
        </w:rPr>
        <w:t>ậ</w:t>
      </w:r>
      <w:r>
        <w:rPr>
          <w:rStyle w:val="Strong"/>
          <w:color w:val="000000"/>
          <w:sz w:val="30"/>
          <w:szCs w:val="30"/>
        </w:rPr>
        <w:t>t</w:t>
      </w:r>
    </w:p>
    <w:p w:rsidR="00000000" w:rsidRDefault="00F00B09" w:rsidP="00C2353F">
      <w:pPr>
        <w:pStyle w:val="NormalWeb"/>
        <w:spacing w:before="0" w:beforeAutospacing="0" w:after="0" w:afterAutospacing="0"/>
        <w:jc w:val="center"/>
        <w:divId w:val="2064015615"/>
        <w:rPr>
          <w:color w:val="000000"/>
        </w:rPr>
      </w:pPr>
      <w:r>
        <w:rPr>
          <w:color w:val="000000"/>
        </w:rPr>
        <w:t>B</w:t>
      </w:r>
      <w:r>
        <w:rPr>
          <w:color w:val="000000"/>
        </w:rPr>
        <w:t>ộ</w:t>
      </w:r>
      <w:r>
        <w:rPr>
          <w:color w:val="000000"/>
        </w:rPr>
        <w:t>, ngành, cơ quan, đơn v</w:t>
      </w:r>
      <w:r>
        <w:rPr>
          <w:color w:val="000000"/>
        </w:rPr>
        <w:t>ị</w:t>
      </w:r>
      <w:r>
        <w:rPr>
          <w:color w:val="000000"/>
        </w:rPr>
        <w:t xml:space="preserve"> thu</w:t>
      </w:r>
      <w:r>
        <w:rPr>
          <w:color w:val="000000"/>
        </w:rPr>
        <w:t>ộ</w:t>
      </w:r>
      <w:r>
        <w:rPr>
          <w:color w:val="000000"/>
        </w:rPr>
        <w:t>c B</w:t>
      </w:r>
      <w:r>
        <w:rPr>
          <w:color w:val="000000"/>
        </w:rPr>
        <w:t>ộ</w:t>
      </w:r>
      <w:r>
        <w:rPr>
          <w:color w:val="000000"/>
        </w:rPr>
        <w:t xml:space="preserve"> Tư pháp cho ý ki</w:t>
      </w:r>
      <w:r>
        <w:rPr>
          <w:color w:val="000000"/>
        </w:rPr>
        <w:t>ế</w:t>
      </w:r>
      <w:r>
        <w:rPr>
          <w:color w:val="000000"/>
        </w:rPr>
        <w:t>n:…………………………</w:t>
      </w:r>
    </w:p>
    <w:p w:rsidR="00000000" w:rsidRDefault="00F00B09" w:rsidP="00C2353F">
      <w:pPr>
        <w:pStyle w:val="NormalWeb"/>
        <w:spacing w:before="0" w:beforeAutospacing="0" w:after="0" w:afterAutospacing="0"/>
        <w:jc w:val="center"/>
        <w:divId w:val="2064015615"/>
        <w:rPr>
          <w:color w:val="000000"/>
        </w:rPr>
      </w:pPr>
      <w:r>
        <w:rPr>
          <w:rStyle w:val="Emphasis"/>
          <w:color w:val="000000"/>
        </w:rPr>
        <w:t>(Kèm theo Báo cáo s</w:t>
      </w:r>
      <w:r>
        <w:rPr>
          <w:rStyle w:val="Emphasis"/>
          <w:color w:val="000000"/>
        </w:rPr>
        <w:t>ố</w:t>
      </w:r>
      <w:r>
        <w:rPr>
          <w:rStyle w:val="Emphasis"/>
          <w:color w:val="000000"/>
        </w:rPr>
        <w:t>…… ngày …….c</w:t>
      </w:r>
      <w:r>
        <w:rPr>
          <w:rStyle w:val="Emphasis"/>
          <w:color w:val="000000"/>
        </w:rPr>
        <w:t>ủ</w:t>
      </w:r>
      <w:r>
        <w:rPr>
          <w:rStyle w:val="Emphasis"/>
          <w:color w:val="000000"/>
        </w:rPr>
        <w:t>a…………..)</w:t>
      </w:r>
    </w:p>
    <w:p w:rsidR="00000000" w:rsidRDefault="00F00B09" w:rsidP="00C2353F">
      <w:pPr>
        <w:pStyle w:val="NormalWeb"/>
        <w:spacing w:before="0" w:beforeAutospacing="0" w:after="0" w:afterAutospacing="0"/>
        <w:jc w:val="center"/>
        <w:divId w:val="2064015615"/>
        <w:rPr>
          <w:color w:val="000000"/>
        </w:rPr>
      </w:pPr>
      <w:r>
        <w:rPr>
          <w:rStyle w:val="Emphasis"/>
          <w:color w:val="000000"/>
        </w:rPr>
        <w:t>___________________</w:t>
      </w:r>
    </w:p>
    <w:p w:rsidR="00000000" w:rsidRDefault="00F00B09" w:rsidP="00C2353F">
      <w:pPr>
        <w:pStyle w:val="Heading3"/>
        <w:spacing w:before="0" w:beforeAutospacing="0" w:after="0" w:afterAutospacing="0"/>
        <w:jc w:val="center"/>
        <w:divId w:val="1118450110"/>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2 - Quy định của VBQPPL không rõ ràng, có nhiều cách hiểu khác nhau, không hợp lý, không khả thi, gây khó khăn trong áp</w:t>
      </w:r>
      <w:r>
        <w:rPr>
          <w:rFonts w:ascii="FontAwesome" w:eastAsia="Times New Roman" w:hAnsi="FontAwesome"/>
          <w:caps/>
          <w:vanish/>
          <w:color w:val="000000"/>
          <w:sz w:val="36"/>
          <w:szCs w:val="36"/>
        </w:rPr>
        <w:t xml:space="preserve"> dụng, thực hiện pháp luật</w:t>
      </w:r>
    </w:p>
    <w:tbl>
      <w:tblPr>
        <w:tblW w:w="1380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32"/>
        <w:gridCol w:w="1833"/>
        <w:gridCol w:w="4323"/>
        <w:gridCol w:w="2409"/>
        <w:gridCol w:w="1181"/>
        <w:gridCol w:w="1513"/>
        <w:gridCol w:w="1181"/>
        <w:gridCol w:w="833"/>
      </w:tblGrid>
      <w:tr w:rsidR="00000000" w:rsidRPr="00C2353F" w:rsidTr="00F00B09">
        <w:trPr>
          <w:divId w:val="1352532105"/>
          <w:tblHeader/>
          <w:tblCellSpacing w:w="0" w:type="dxa"/>
        </w:trPr>
        <w:tc>
          <w:tcPr>
            <w:tcW w:w="532" w:type="dxa"/>
            <w:vAlign w:val="center"/>
            <w:hideMark/>
          </w:tcPr>
          <w:p w:rsidR="00000000" w:rsidRPr="00C2353F" w:rsidRDefault="00F00B09" w:rsidP="00C2353F">
            <w:pPr>
              <w:spacing w:after="0"/>
              <w:jc w:val="center"/>
              <w:rPr>
                <w:rFonts w:ascii="Times" w:eastAsia="Times New Roman" w:hAnsi="Times" w:cs="Times"/>
                <w:b/>
                <w:bCs/>
              </w:rPr>
            </w:pPr>
            <w:r w:rsidRPr="00C2353F">
              <w:rPr>
                <w:rFonts w:ascii="Times" w:eastAsia="Times New Roman" w:hAnsi="Times" w:cs="Times"/>
                <w:b/>
                <w:bCs/>
              </w:rPr>
              <w:t>STT</w:t>
            </w:r>
          </w:p>
        </w:tc>
        <w:tc>
          <w:tcPr>
            <w:tcW w:w="1833" w:type="dxa"/>
            <w:vAlign w:val="center"/>
            <w:hideMark/>
          </w:tcPr>
          <w:p w:rsidR="00000000" w:rsidRPr="00C2353F" w:rsidRDefault="00F00B09" w:rsidP="00C2353F">
            <w:pPr>
              <w:spacing w:after="0"/>
              <w:jc w:val="center"/>
              <w:rPr>
                <w:rFonts w:ascii="Times" w:eastAsia="Times New Roman" w:hAnsi="Times" w:cs="Times"/>
                <w:b/>
                <w:bCs/>
              </w:rPr>
            </w:pPr>
            <w:r w:rsidRPr="00C2353F">
              <w:rPr>
                <w:rFonts w:ascii="Times" w:eastAsia="Times New Roman" w:hAnsi="Times" w:cs="Times"/>
                <w:b/>
                <w:bCs/>
              </w:rPr>
              <w:t>Điều, khoản, điểm, tên văn bản đề xuất xử lý</w:t>
            </w:r>
          </w:p>
        </w:tc>
        <w:tc>
          <w:tcPr>
            <w:tcW w:w="4323" w:type="dxa"/>
            <w:vAlign w:val="center"/>
            <w:hideMark/>
          </w:tcPr>
          <w:p w:rsidR="00000000" w:rsidRPr="00C2353F" w:rsidRDefault="00F00B09" w:rsidP="00C2353F">
            <w:pPr>
              <w:spacing w:after="0"/>
              <w:jc w:val="center"/>
              <w:rPr>
                <w:rFonts w:ascii="Times" w:eastAsia="Times New Roman" w:hAnsi="Times" w:cs="Times"/>
                <w:b/>
                <w:bCs/>
              </w:rPr>
            </w:pPr>
            <w:r w:rsidRPr="00C2353F">
              <w:rPr>
                <w:rFonts w:ascii="Times" w:eastAsia="Times New Roman" w:hAnsi="Times" w:cs="Times"/>
                <w:b/>
                <w:bCs/>
              </w:rPr>
              <w:t>Nội dung quy định được phản ánh không rõ ràng, có nhiều cách hiểu khác nhau, không hợp lý, không khả thi, gây khó khăn trong áp dụng, thực hiện pháp luật</w:t>
            </w:r>
          </w:p>
        </w:tc>
        <w:tc>
          <w:tcPr>
            <w:tcW w:w="2409" w:type="dxa"/>
            <w:vAlign w:val="center"/>
            <w:hideMark/>
          </w:tcPr>
          <w:p w:rsidR="00000000" w:rsidRPr="00C2353F" w:rsidRDefault="00F00B09" w:rsidP="00C2353F">
            <w:pPr>
              <w:spacing w:after="0"/>
              <w:jc w:val="center"/>
              <w:rPr>
                <w:rFonts w:ascii="Times" w:eastAsia="Times New Roman" w:hAnsi="Times" w:cs="Times"/>
                <w:b/>
                <w:bCs/>
              </w:rPr>
            </w:pPr>
            <w:r w:rsidRPr="00C2353F">
              <w:rPr>
                <w:rFonts w:ascii="Times" w:eastAsia="Times New Roman" w:hAnsi="Times" w:cs="Times"/>
                <w:b/>
                <w:bCs/>
              </w:rPr>
              <w:t>Phương án xử lý được đề xu</w:t>
            </w:r>
            <w:r w:rsidRPr="00C2353F">
              <w:rPr>
                <w:rFonts w:ascii="Times" w:eastAsia="Times New Roman" w:hAnsi="Times" w:cs="Times"/>
                <w:b/>
                <w:bCs/>
              </w:rPr>
              <w:t>ất</w:t>
            </w:r>
          </w:p>
        </w:tc>
        <w:tc>
          <w:tcPr>
            <w:tcW w:w="1181" w:type="dxa"/>
            <w:vAlign w:val="center"/>
            <w:hideMark/>
          </w:tcPr>
          <w:p w:rsidR="00000000" w:rsidRPr="00C2353F" w:rsidRDefault="00F00B09" w:rsidP="00C2353F">
            <w:pPr>
              <w:spacing w:after="0"/>
              <w:jc w:val="center"/>
              <w:rPr>
                <w:rFonts w:ascii="Times" w:eastAsia="Times New Roman" w:hAnsi="Times" w:cs="Times"/>
                <w:b/>
                <w:bCs/>
              </w:rPr>
            </w:pPr>
            <w:r w:rsidRPr="00C2353F">
              <w:rPr>
                <w:rFonts w:ascii="Times" w:eastAsia="Times New Roman" w:hAnsi="Times" w:cs="Times"/>
                <w:b/>
                <w:bCs/>
              </w:rPr>
              <w:t>Cơ quan, tổ chức rà soát, phản ánh</w:t>
            </w:r>
          </w:p>
        </w:tc>
        <w:tc>
          <w:tcPr>
            <w:tcW w:w="1513" w:type="dxa"/>
            <w:vAlign w:val="center"/>
            <w:hideMark/>
          </w:tcPr>
          <w:p w:rsidR="00000000" w:rsidRPr="00C2353F" w:rsidRDefault="00F00B09" w:rsidP="00C2353F">
            <w:pPr>
              <w:spacing w:after="0"/>
              <w:jc w:val="center"/>
              <w:rPr>
                <w:rFonts w:ascii="Times" w:eastAsia="Times New Roman" w:hAnsi="Times" w:cs="Times"/>
                <w:b/>
                <w:bCs/>
              </w:rPr>
            </w:pPr>
            <w:r w:rsidRPr="00C2353F">
              <w:rPr>
                <w:rFonts w:ascii="Times" w:eastAsia="Times New Roman" w:hAnsi="Times" w:cs="Times"/>
                <w:b/>
                <w:bCs/>
              </w:rPr>
              <w:t>Ý kiến của Bộ, ngành, cơ quan về nội dung rà soát, phản ánh</w:t>
            </w:r>
          </w:p>
        </w:tc>
        <w:tc>
          <w:tcPr>
            <w:tcW w:w="1181" w:type="dxa"/>
            <w:vAlign w:val="center"/>
            <w:hideMark/>
          </w:tcPr>
          <w:p w:rsidR="00000000" w:rsidRPr="00C2353F" w:rsidRDefault="00F00B09" w:rsidP="00C2353F">
            <w:pPr>
              <w:spacing w:after="0"/>
              <w:jc w:val="center"/>
              <w:rPr>
                <w:rFonts w:ascii="Times" w:eastAsia="Times New Roman" w:hAnsi="Times" w:cs="Times"/>
                <w:b/>
                <w:bCs/>
              </w:rPr>
            </w:pPr>
            <w:r w:rsidRPr="00C2353F">
              <w:rPr>
                <w:rFonts w:ascii="Times" w:eastAsia="Times New Roman" w:hAnsi="Times" w:cs="Times"/>
                <w:b/>
                <w:bCs/>
              </w:rPr>
              <w:t>Ý kiến của Bộ Tư pháp về nội dung rà soát, phản ánh</w:t>
            </w:r>
          </w:p>
        </w:tc>
        <w:tc>
          <w:tcPr>
            <w:tcW w:w="833" w:type="dxa"/>
            <w:vAlign w:val="center"/>
            <w:hideMark/>
          </w:tcPr>
          <w:p w:rsidR="00000000" w:rsidRPr="00C2353F" w:rsidRDefault="00F00B09" w:rsidP="00C2353F">
            <w:pPr>
              <w:spacing w:after="0"/>
              <w:jc w:val="center"/>
              <w:rPr>
                <w:rFonts w:ascii="Times" w:eastAsia="Times New Roman" w:hAnsi="Times" w:cs="Times"/>
                <w:b/>
                <w:bCs/>
              </w:rPr>
            </w:pPr>
            <w:r w:rsidRPr="00C2353F">
              <w:rPr>
                <w:rFonts w:ascii="Times" w:eastAsia="Times New Roman" w:hAnsi="Times" w:cs="Times"/>
                <w:b/>
                <w:bCs/>
              </w:rPr>
              <w:t>Thời gian cập nhật</w:t>
            </w:r>
          </w:p>
        </w:tc>
      </w:tr>
      <w:tr w:rsidR="00F00B09" w:rsidRPr="00C2353F" w:rsidTr="00F00B09">
        <w:trPr>
          <w:divId w:val="1352532105"/>
          <w:tblCellSpacing w:w="0" w:type="dxa"/>
        </w:trPr>
        <w:tc>
          <w:tcPr>
            <w:tcW w:w="532" w:type="dxa"/>
            <w:vAlign w:val="center"/>
            <w:hideMark/>
          </w:tcPr>
          <w:p w:rsidR="00000000" w:rsidRPr="00C2353F" w:rsidRDefault="00F00B09" w:rsidP="00C2353F">
            <w:pPr>
              <w:spacing w:after="0"/>
              <w:jc w:val="center"/>
              <w:rPr>
                <w:rFonts w:ascii="Times" w:eastAsia="Times New Roman" w:hAnsi="Times" w:cs="Times"/>
              </w:rPr>
            </w:pPr>
            <w:r w:rsidRPr="00C2353F">
              <w:rPr>
                <w:rFonts w:ascii="Times" w:eastAsia="Times New Roman" w:hAnsi="Times" w:cs="Times"/>
              </w:rPr>
              <w:t>1</w:t>
            </w:r>
          </w:p>
        </w:tc>
        <w:tc>
          <w:tcPr>
            <w:tcW w:w="1833"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VI. Lĩnh vực Giáo dục và Đào tạo Điều 1 Nghị định số 61/2006/NĐ-CP ngày 20/6/2006 củ</w:t>
            </w:r>
            <w:r w:rsidRPr="00C2353F">
              <w:rPr>
                <w:rFonts w:ascii="Times" w:eastAsia="Times New Roman" w:hAnsi="Times" w:cs="Times"/>
              </w:rPr>
              <w:t>a Chính phủ về chính sách đối với nhà giáo, cán bộ quản lý giáo dục công tác ở trường chuyên biệt, ở vùng có điều kiện kinh tế - xã hội đặc biệt khó khăn</w:t>
            </w:r>
          </w:p>
        </w:tc>
        <w:tc>
          <w:tcPr>
            <w:tcW w:w="4323"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Điều 1 Nghị định số 61/2006/NĐ-CP, không quy định đối tượng là Nhân viên công tác ở trường chuyên biệt</w:t>
            </w:r>
            <w:r w:rsidRPr="00C2353F">
              <w:rPr>
                <w:rFonts w:ascii="Times" w:eastAsia="Times New Roman" w:hAnsi="Times" w:cs="Times"/>
              </w:rPr>
              <w:t xml:space="preserve"> được hưởng chính sách theo Nghị định số 61/2006/NĐ-CP, nhân viên trường học tại các đơn vị đóng trên địa bàn có điều kiện kinh tế - xã hội đặc biệt khó khăn không được hưởng phụ cấp ưu đãi. Do đó, không bảo đảm thu nhập công bằng cho đội ngũ nhân viên như</w:t>
            </w:r>
            <w:r w:rsidRPr="00C2353F">
              <w:rPr>
                <w:rFonts w:ascii="Times" w:eastAsia="Times New Roman" w:hAnsi="Times" w:cs="Times"/>
              </w:rPr>
              <w:t xml:space="preserve"> nhà giáo, cán bộ quản lý giáo dục mặc dù môi trường công tác giống nhau, ảnh hưởng quyền lợi của đối tượng này.</w:t>
            </w:r>
          </w:p>
        </w:tc>
        <w:tc>
          <w:tcPr>
            <w:tcW w:w="2409"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Sở Tư pháp tỉnh Gi</w:t>
            </w:r>
            <w:r w:rsidRPr="00C2353F">
              <w:rPr>
                <w:rFonts w:ascii="Times" w:eastAsia="Times New Roman" w:hAnsi="Times" w:cs="Times"/>
              </w:rPr>
              <w:t>a Lai</w:t>
            </w:r>
          </w:p>
        </w:tc>
        <w:tc>
          <w:tcPr>
            <w:tcW w:w="1513" w:type="dxa"/>
            <w:vAlign w:val="center"/>
            <w:hideMark/>
          </w:tcPr>
          <w:p w:rsidR="00000000" w:rsidRPr="00C2353F" w:rsidRDefault="00F00B09" w:rsidP="00C2353F">
            <w:pPr>
              <w:spacing w:after="0"/>
              <w:rPr>
                <w:rFonts w:ascii="Times" w:eastAsia="Times New Roman" w:hAnsi="Times" w:cs="Times"/>
              </w:rPr>
            </w:pPr>
          </w:p>
        </w:tc>
        <w:tc>
          <w:tcPr>
            <w:tcW w:w="1181" w:type="dxa"/>
            <w:vAlign w:val="center"/>
            <w:hideMark/>
          </w:tcPr>
          <w:p w:rsidR="00000000" w:rsidRPr="00C2353F" w:rsidRDefault="00F00B09" w:rsidP="00C2353F">
            <w:pPr>
              <w:spacing w:after="0"/>
              <w:rPr>
                <w:rFonts w:eastAsia="Times New Roman"/>
              </w:rPr>
            </w:pPr>
          </w:p>
        </w:tc>
        <w:tc>
          <w:tcPr>
            <w:tcW w:w="833" w:type="dxa"/>
            <w:vAlign w:val="center"/>
            <w:hideMark/>
          </w:tcPr>
          <w:p w:rsidR="00000000" w:rsidRPr="00C2353F" w:rsidRDefault="00F00B09" w:rsidP="00C2353F">
            <w:pPr>
              <w:spacing w:after="0"/>
              <w:jc w:val="center"/>
              <w:rPr>
                <w:rFonts w:ascii="Times" w:eastAsia="Times New Roman" w:hAnsi="Times" w:cs="Times"/>
              </w:rPr>
            </w:pPr>
            <w:r w:rsidRPr="00C2353F">
              <w:rPr>
                <w:rFonts w:ascii="Times" w:eastAsia="Times New Roman" w:hAnsi="Times" w:cs="Times"/>
              </w:rPr>
              <w:t>15-07-2025 16:48:23</w:t>
            </w:r>
          </w:p>
        </w:tc>
      </w:tr>
      <w:tr w:rsidR="00F00B09" w:rsidRPr="00C2353F" w:rsidTr="00F00B09">
        <w:trPr>
          <w:divId w:val="1352532105"/>
          <w:tblCellSpacing w:w="0" w:type="dxa"/>
        </w:trPr>
        <w:tc>
          <w:tcPr>
            <w:tcW w:w="532" w:type="dxa"/>
            <w:vAlign w:val="center"/>
            <w:hideMark/>
          </w:tcPr>
          <w:p w:rsidR="00000000" w:rsidRPr="00C2353F" w:rsidRDefault="00F00B09" w:rsidP="00C2353F">
            <w:pPr>
              <w:spacing w:after="0"/>
              <w:jc w:val="center"/>
              <w:rPr>
                <w:rFonts w:ascii="Times" w:eastAsia="Times New Roman" w:hAnsi="Times" w:cs="Times"/>
              </w:rPr>
            </w:pPr>
            <w:r w:rsidRPr="00C2353F">
              <w:rPr>
                <w:rFonts w:ascii="Times" w:eastAsia="Times New Roman" w:hAnsi="Times" w:cs="Times"/>
              </w:rPr>
              <w:t>2</w:t>
            </w:r>
          </w:p>
        </w:tc>
        <w:tc>
          <w:tcPr>
            <w:tcW w:w="1833"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 xml:space="preserve">Điều 15 Nghị định 66/2025/NĐ-CP ngày 12/3/2025 của Chính phủ quy định chính sách cho trẻ em nhà trẻ, học sinh, học viên ở </w:t>
            </w:r>
            <w:r w:rsidRPr="00C2353F">
              <w:rPr>
                <w:rFonts w:ascii="Times" w:eastAsia="Times New Roman" w:hAnsi="Times" w:cs="Times"/>
              </w:rPr>
              <w:lastRenderedPageBreak/>
              <w:t>vùng đồng bào dân tộc thiểu số và miền núi, vùng bãi ngang, ven biển và hải đảo và cơ sở giáo dục có trẻ em nhà trẻ, học sinh hưởng ch</w:t>
            </w:r>
            <w:r w:rsidRPr="00C2353F">
              <w:rPr>
                <w:rFonts w:ascii="Times" w:eastAsia="Times New Roman" w:hAnsi="Times" w:cs="Times"/>
              </w:rPr>
              <w:t>ính sách.</w:t>
            </w:r>
          </w:p>
        </w:tc>
        <w:tc>
          <w:tcPr>
            <w:tcW w:w="4323"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lastRenderedPageBreak/>
              <w:t>- Tại khoản 1 Điều 15 Nghị định 66/2025/NĐ-CP ngày 12/3/2025 của Chính phủ quy định: Nghị định này có hiệu lực thi hành từ ngày 01/5/2025 và thay thế Nghị định 116/2016/NĐ-CP ngày 18/7/2016 về quy định chính sách hỗ trợ học sinh và trường phổ thô</w:t>
            </w:r>
            <w:r w:rsidRPr="00C2353F">
              <w:rPr>
                <w:rFonts w:ascii="Times" w:eastAsia="Times New Roman" w:hAnsi="Times" w:cs="Times"/>
              </w:rPr>
              <w:t xml:space="preserve">ng ở xã, thôn đặc biệt khó khăn và Thông tư liên tịch số </w:t>
            </w:r>
            <w:r w:rsidRPr="00C2353F">
              <w:rPr>
                <w:rFonts w:ascii="Times" w:eastAsia="Times New Roman" w:hAnsi="Times" w:cs="Times"/>
              </w:rPr>
              <w:lastRenderedPageBreak/>
              <w:t>109/2009/TTLT/BTC-BGDĐT ngày 29/5/2009 của Bộ Tài chính và Bộ Giáo dục và Đào tạo. - Tại khoản 2 Điều 15 Nghị định 66/2025/NĐ-CP ngày 12/3/2025 của Chính phủ quy định: Các chính sách quy định tại Ngh</w:t>
            </w:r>
            <w:r w:rsidRPr="00C2353F">
              <w:rPr>
                <w:rFonts w:ascii="Times" w:eastAsia="Times New Roman" w:hAnsi="Times" w:cs="Times"/>
              </w:rPr>
              <w:t xml:space="preserve">ị định 116/2016/NĐ-CP và Thông tư liên tịch số 109/2009/TTLT/BTC-BGDĐT được thực hiện hết năm 2024. Chính sách quy định tại Nghị định này được thực hiện từ năm 2025. - Như vậy, việc xác thời điểm thực hiện chính sách theo Nghị định 66/2025/NĐ-CP là từ năm </w:t>
            </w:r>
            <w:r w:rsidRPr="00C2353F">
              <w:rPr>
                <w:rFonts w:ascii="Times" w:eastAsia="Times New Roman" w:hAnsi="Times" w:cs="Times"/>
              </w:rPr>
              <w:t>2025 hay 01/5/2025?</w:t>
            </w:r>
          </w:p>
        </w:tc>
        <w:tc>
          <w:tcPr>
            <w:tcW w:w="2409"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lastRenderedPageBreak/>
              <w:t>C. Sửa đổi, bổ sung, thay thế, ban hành mới VBQPPL (theo trình tự, thủ tục rút gọn ban hành VBQPPL của Luật Ban hành VBQPPL)</w:t>
            </w:r>
          </w:p>
        </w:tc>
        <w:tc>
          <w:tcPr>
            <w:tcW w:w="1181"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Sở Tư pháp tỉnh Phú Thọ</w:t>
            </w:r>
          </w:p>
        </w:tc>
        <w:tc>
          <w:tcPr>
            <w:tcW w:w="1513" w:type="dxa"/>
            <w:vAlign w:val="center"/>
            <w:hideMark/>
          </w:tcPr>
          <w:p w:rsidR="00000000" w:rsidRPr="00C2353F" w:rsidRDefault="00F00B09" w:rsidP="00C2353F">
            <w:pPr>
              <w:spacing w:after="0"/>
              <w:rPr>
                <w:rFonts w:ascii="Times" w:eastAsia="Times New Roman" w:hAnsi="Times" w:cs="Times"/>
              </w:rPr>
            </w:pPr>
          </w:p>
        </w:tc>
        <w:tc>
          <w:tcPr>
            <w:tcW w:w="1181" w:type="dxa"/>
            <w:vAlign w:val="center"/>
            <w:hideMark/>
          </w:tcPr>
          <w:p w:rsidR="00000000" w:rsidRPr="00C2353F" w:rsidRDefault="00F00B09" w:rsidP="00C2353F">
            <w:pPr>
              <w:spacing w:after="0"/>
              <w:rPr>
                <w:rFonts w:eastAsia="Times New Roman"/>
              </w:rPr>
            </w:pPr>
          </w:p>
        </w:tc>
        <w:tc>
          <w:tcPr>
            <w:tcW w:w="833" w:type="dxa"/>
            <w:vAlign w:val="center"/>
            <w:hideMark/>
          </w:tcPr>
          <w:p w:rsidR="00000000" w:rsidRPr="00C2353F" w:rsidRDefault="00F00B09" w:rsidP="00C2353F">
            <w:pPr>
              <w:spacing w:after="0"/>
              <w:jc w:val="center"/>
              <w:rPr>
                <w:rFonts w:ascii="Times" w:eastAsia="Times New Roman" w:hAnsi="Times" w:cs="Times"/>
              </w:rPr>
            </w:pPr>
            <w:r w:rsidRPr="00C2353F">
              <w:rPr>
                <w:rFonts w:ascii="Times" w:eastAsia="Times New Roman" w:hAnsi="Times" w:cs="Times"/>
              </w:rPr>
              <w:t>15-07-2025 16:06:38</w:t>
            </w:r>
          </w:p>
        </w:tc>
      </w:tr>
      <w:tr w:rsidR="00F00B09" w:rsidRPr="00C2353F" w:rsidTr="00F00B09">
        <w:trPr>
          <w:divId w:val="1352532105"/>
          <w:tblCellSpacing w:w="0" w:type="dxa"/>
        </w:trPr>
        <w:tc>
          <w:tcPr>
            <w:tcW w:w="532" w:type="dxa"/>
            <w:vAlign w:val="center"/>
            <w:hideMark/>
          </w:tcPr>
          <w:p w:rsidR="00000000" w:rsidRPr="00C2353F" w:rsidRDefault="00F00B09" w:rsidP="00C2353F">
            <w:pPr>
              <w:spacing w:after="0"/>
              <w:jc w:val="center"/>
              <w:rPr>
                <w:rFonts w:ascii="Times" w:eastAsia="Times New Roman" w:hAnsi="Times" w:cs="Times"/>
              </w:rPr>
            </w:pPr>
            <w:r w:rsidRPr="00C2353F">
              <w:rPr>
                <w:rFonts w:ascii="Times" w:eastAsia="Times New Roman" w:hAnsi="Times" w:cs="Times"/>
              </w:rPr>
              <w:lastRenderedPageBreak/>
              <w:t>3</w:t>
            </w:r>
          </w:p>
        </w:tc>
        <w:tc>
          <w:tcPr>
            <w:tcW w:w="1833"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 xml:space="preserve">Khoản 1 Điều 17 Quyết định số 53/2008/QĐ-BGDĐT ngày 18/9/2008 </w:t>
            </w:r>
            <w:r w:rsidRPr="00C2353F">
              <w:rPr>
                <w:rFonts w:ascii="Times" w:eastAsia="Times New Roman" w:hAnsi="Times" w:cs="Times"/>
              </w:rPr>
              <w:t>Ban hành quy định về việc đánh giá, xếp loại thể lực</w:t>
            </w:r>
          </w:p>
        </w:tc>
        <w:tc>
          <w:tcPr>
            <w:tcW w:w="4323"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Quy định cơ sở giáo dục chỉ đạo, kiểm tra phòng giáo dục - cơ quan quản lý nhà nước là khó khăn trong áp dụng, gây ra nhiều cách hiểu khác nhau.</w:t>
            </w:r>
          </w:p>
        </w:tc>
        <w:tc>
          <w:tcPr>
            <w:tcW w:w="2409"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C. Sửa đổi, bổ sung, thay thế, ban hành mới VBQPPL (theo t</w:t>
            </w:r>
            <w:r w:rsidRPr="00C2353F">
              <w:rPr>
                <w:rFonts w:ascii="Times" w:eastAsia="Times New Roman" w:hAnsi="Times" w:cs="Times"/>
              </w:rPr>
              <w:t>rình tự, thủ tục rút gọn ban hành VBQPPL của Luật Ban hành VBQPPL)</w:t>
            </w:r>
          </w:p>
        </w:tc>
        <w:tc>
          <w:tcPr>
            <w:tcW w:w="1181"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Bộ Giáo dục và Đào tạo</w:t>
            </w:r>
          </w:p>
        </w:tc>
        <w:tc>
          <w:tcPr>
            <w:tcW w:w="1513" w:type="dxa"/>
            <w:vAlign w:val="center"/>
            <w:hideMark/>
          </w:tcPr>
          <w:p w:rsidR="00000000" w:rsidRPr="00C2353F" w:rsidRDefault="00F00B09" w:rsidP="00C2353F">
            <w:pPr>
              <w:spacing w:after="0"/>
              <w:rPr>
                <w:rFonts w:ascii="Times" w:eastAsia="Times New Roman" w:hAnsi="Times" w:cs="Times"/>
              </w:rPr>
            </w:pPr>
          </w:p>
        </w:tc>
        <w:tc>
          <w:tcPr>
            <w:tcW w:w="1181" w:type="dxa"/>
            <w:vAlign w:val="center"/>
            <w:hideMark/>
          </w:tcPr>
          <w:p w:rsidR="00000000" w:rsidRPr="00C2353F" w:rsidRDefault="00F00B09" w:rsidP="00C2353F">
            <w:pPr>
              <w:spacing w:after="0"/>
              <w:rPr>
                <w:rFonts w:eastAsia="Times New Roman"/>
              </w:rPr>
            </w:pPr>
          </w:p>
        </w:tc>
        <w:tc>
          <w:tcPr>
            <w:tcW w:w="833" w:type="dxa"/>
            <w:vAlign w:val="center"/>
            <w:hideMark/>
          </w:tcPr>
          <w:p w:rsidR="00000000" w:rsidRPr="00C2353F" w:rsidRDefault="00F00B09" w:rsidP="00C2353F">
            <w:pPr>
              <w:spacing w:after="0"/>
              <w:jc w:val="center"/>
              <w:rPr>
                <w:rFonts w:ascii="Times" w:eastAsia="Times New Roman" w:hAnsi="Times" w:cs="Times"/>
              </w:rPr>
            </w:pPr>
            <w:r w:rsidRPr="00C2353F">
              <w:rPr>
                <w:rFonts w:ascii="Times" w:eastAsia="Times New Roman" w:hAnsi="Times" w:cs="Times"/>
              </w:rPr>
              <w:t>15-07-2025 15:59:51</w:t>
            </w:r>
          </w:p>
        </w:tc>
      </w:tr>
      <w:tr w:rsidR="00F00B09" w:rsidRPr="00C2353F" w:rsidTr="00F00B09">
        <w:trPr>
          <w:divId w:val="1352532105"/>
          <w:tblCellSpacing w:w="0" w:type="dxa"/>
        </w:trPr>
        <w:tc>
          <w:tcPr>
            <w:tcW w:w="532" w:type="dxa"/>
            <w:vAlign w:val="center"/>
            <w:hideMark/>
          </w:tcPr>
          <w:p w:rsidR="00000000" w:rsidRPr="00C2353F" w:rsidRDefault="00F00B09" w:rsidP="00C2353F">
            <w:pPr>
              <w:spacing w:after="0"/>
              <w:jc w:val="center"/>
              <w:rPr>
                <w:rFonts w:ascii="Times" w:eastAsia="Times New Roman" w:hAnsi="Times" w:cs="Times"/>
              </w:rPr>
            </w:pPr>
            <w:r w:rsidRPr="00C2353F">
              <w:rPr>
                <w:rFonts w:ascii="Times" w:eastAsia="Times New Roman" w:hAnsi="Times" w:cs="Times"/>
              </w:rPr>
              <w:t>4</w:t>
            </w:r>
          </w:p>
        </w:tc>
        <w:tc>
          <w:tcPr>
            <w:tcW w:w="1833"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Điểm a khoản 2 Điều 13, Thông tư 04/2022/TT- BLĐTBXH ngày 30/3/2022 của Bộ Lao động - TB và XH.</w:t>
            </w:r>
          </w:p>
        </w:tc>
        <w:tc>
          <w:tcPr>
            <w:tcW w:w="4323"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Điểm a khoản 2 Điều 13 Thông tư 04/2022/TT- B</w:t>
            </w:r>
            <w:r w:rsidRPr="00C2353F">
              <w:rPr>
                <w:rFonts w:ascii="Times" w:eastAsia="Times New Roman" w:hAnsi="Times" w:cs="Times"/>
              </w:rPr>
              <w:t>LĐTBXH ngày 30/3/2022 của Bộ Lao động - TB và XH. Thông tư quy định việc tổ chức đào tạo trình độ trung cấp, trình độ cao đẳng theo niên chế hoặc theo phương thức tích lũy mô-đun hoặc tín chỉ: “2. Số lần dự thi kết thúc môn học, mô-đun. a) Người học được d</w:t>
            </w:r>
            <w:r w:rsidRPr="00C2353F">
              <w:rPr>
                <w:rFonts w:ascii="Times" w:eastAsia="Times New Roman" w:hAnsi="Times" w:cs="Times"/>
              </w:rPr>
              <w:t>ự thi kết thúc môn học, mô-đun, người đủ điều kiện quy định tại khoản 1 Điều này được dự thi kết thúc môn học, mô-đun. Nếu người học chưa dự thi kết thúc môn học, mô-đun lần thức nhất vì lý do chính đáng thì được bố trí tham dự ở lần thi tiếp theo. Người c</w:t>
            </w:r>
            <w:r w:rsidRPr="00C2353F">
              <w:rPr>
                <w:rFonts w:ascii="Times" w:eastAsia="Times New Roman" w:hAnsi="Times" w:cs="Times"/>
              </w:rPr>
              <w:t xml:space="preserve">ó điểm thi lần thứ nhất thuộc loại chưa đạt được thi lại; số lần thi lại do hiệu trưởng quy định.” Nội dung “Người có điểm thi lần thứ nhất thuộc loại chưa đạt được thi lại” cần quy định điểm thi không đạt cụ thể là bao nhiêu điểm, tránh gây tranh cãi. Đề </w:t>
            </w:r>
            <w:r w:rsidRPr="00C2353F">
              <w:rPr>
                <w:rFonts w:ascii="Times" w:eastAsia="Times New Roman" w:hAnsi="Times" w:cs="Times"/>
              </w:rPr>
              <w:t>nghị quy định cụ thể điểm thi chưa đạt là bao nhiêu điểm hoặc tiêu chí xác định chưa đạt.</w:t>
            </w:r>
          </w:p>
        </w:tc>
        <w:tc>
          <w:tcPr>
            <w:tcW w:w="2409"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hideMark/>
          </w:tcPr>
          <w:p w:rsidR="00000000" w:rsidRPr="00C2353F" w:rsidRDefault="00F00B09" w:rsidP="00C2353F">
            <w:pPr>
              <w:spacing w:after="0"/>
              <w:rPr>
                <w:rFonts w:ascii="Times" w:eastAsia="Times New Roman" w:hAnsi="Times" w:cs="Times"/>
              </w:rPr>
            </w:pPr>
            <w:r w:rsidRPr="00C2353F">
              <w:rPr>
                <w:rFonts w:ascii="Times" w:eastAsia="Times New Roman" w:hAnsi="Times" w:cs="Times"/>
              </w:rPr>
              <w:t>Tập đoàn công nghiệp Than - Khoáng sản Việt Nam</w:t>
            </w:r>
          </w:p>
        </w:tc>
        <w:tc>
          <w:tcPr>
            <w:tcW w:w="1513" w:type="dxa"/>
            <w:vAlign w:val="center"/>
            <w:hideMark/>
          </w:tcPr>
          <w:p w:rsidR="00000000" w:rsidRPr="00C2353F" w:rsidRDefault="00F00B09" w:rsidP="00C2353F">
            <w:pPr>
              <w:spacing w:after="0"/>
              <w:rPr>
                <w:rFonts w:ascii="Times" w:eastAsia="Times New Roman" w:hAnsi="Times" w:cs="Times"/>
              </w:rPr>
            </w:pPr>
          </w:p>
        </w:tc>
        <w:tc>
          <w:tcPr>
            <w:tcW w:w="1181" w:type="dxa"/>
            <w:vAlign w:val="center"/>
            <w:hideMark/>
          </w:tcPr>
          <w:p w:rsidR="00000000" w:rsidRPr="00C2353F" w:rsidRDefault="00F00B09" w:rsidP="00C2353F">
            <w:pPr>
              <w:spacing w:after="0"/>
              <w:rPr>
                <w:rFonts w:eastAsia="Times New Roman"/>
              </w:rPr>
            </w:pPr>
          </w:p>
        </w:tc>
        <w:tc>
          <w:tcPr>
            <w:tcW w:w="833" w:type="dxa"/>
            <w:vAlign w:val="center"/>
            <w:hideMark/>
          </w:tcPr>
          <w:p w:rsidR="00000000" w:rsidRPr="00C2353F" w:rsidRDefault="00F00B09" w:rsidP="00C2353F">
            <w:pPr>
              <w:spacing w:after="0"/>
              <w:jc w:val="center"/>
              <w:rPr>
                <w:rFonts w:ascii="Times" w:eastAsia="Times New Roman" w:hAnsi="Times" w:cs="Times"/>
              </w:rPr>
            </w:pPr>
            <w:r w:rsidRPr="00C2353F">
              <w:rPr>
                <w:rFonts w:ascii="Times" w:eastAsia="Times New Roman" w:hAnsi="Times" w:cs="Times"/>
              </w:rPr>
              <w:t>13-07-2025 16:06:42</w:t>
            </w:r>
          </w:p>
        </w:tc>
      </w:tr>
      <w:tr w:rsidR="00F00B09" w:rsidRPr="00C2353F" w:rsidTr="00F00B09">
        <w:trPr>
          <w:divId w:val="1352532105"/>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5</w:t>
            </w:r>
          </w:p>
        </w:tc>
        <w:tc>
          <w:tcPr>
            <w:tcW w:w="1833"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 xml:space="preserve">Khoản 1 Điều 55 Luật Giáo dục năm 2019; Điều 14 Luật Giáo dục đại học năm 2018; Điều 7 Nghị định số 99/2019/NĐCP </w:t>
            </w:r>
          </w:p>
        </w:tc>
        <w:tc>
          <w:tcPr>
            <w:tcW w:w="4323"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Việc tổ chức hội đồng trường. Đề nghị bổ sung nội dung: Không tổ chức hội đồng trường trong các cơ sở giáo dục đại học thuộc BQP</w:t>
            </w:r>
          </w:p>
        </w:tc>
        <w:tc>
          <w:tcPr>
            <w:tcW w:w="2409"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vAlign w:val="center"/>
          </w:tcPr>
          <w:p w:rsidR="00F00B09" w:rsidRPr="00C2353F" w:rsidRDefault="00F00B09" w:rsidP="00F00B09">
            <w:pPr>
              <w:spacing w:after="0"/>
              <w:rPr>
                <w:rFonts w:ascii="Times" w:eastAsia="Times New Roman" w:hAnsi="Times" w:cs="Times"/>
              </w:rPr>
            </w:pPr>
            <w:r>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bl>
    <w:tbl>
      <w:tblPr>
        <w:tblW w:w="1380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32"/>
        <w:gridCol w:w="1833"/>
        <w:gridCol w:w="4323"/>
        <w:gridCol w:w="2409"/>
        <w:gridCol w:w="1181"/>
        <w:gridCol w:w="1513"/>
        <w:gridCol w:w="1181"/>
        <w:gridCol w:w="833"/>
      </w:tblGrid>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bookmarkStart w:id="0" w:name="_GoBack" w:colFirst="3" w:colLast="3"/>
            <w:r>
              <w:rPr>
                <w:rFonts w:ascii="Times" w:eastAsia="Times New Roman" w:hAnsi="Times" w:cs="Times"/>
              </w:rPr>
              <w:t>6</w:t>
            </w:r>
          </w:p>
        </w:tc>
        <w:tc>
          <w:tcPr>
            <w:tcW w:w="1833" w:type="dxa"/>
            <w:vAlign w:val="bottom"/>
          </w:tcPr>
          <w:p w:rsidR="00F00B09" w:rsidRPr="00F00B09" w:rsidRDefault="00F00B09" w:rsidP="00F00B09">
            <w:pPr>
              <w:rPr>
                <w:rFonts w:ascii="Times" w:eastAsia="Times New Roman" w:hAnsi="Times" w:cs="Times"/>
              </w:rPr>
            </w:pPr>
            <w:r w:rsidRPr="00F00B09">
              <w:rPr>
                <w:rFonts w:ascii="Times" w:eastAsia="Times New Roman" w:hAnsi="Times" w:cs="Times"/>
              </w:rPr>
              <w:t>Khoản 1 Điều 52 Luật Giáo dục năm 2019; Khoản 6 Điều 18 Luật Giáo dục nghề nghiệp năm 2014</w:t>
            </w:r>
          </w:p>
        </w:tc>
        <w:tc>
          <w:tcPr>
            <w:tcW w:w="4323"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Về thẩm quyền quyết định thành lập trường Cao đẳng. Đề nghị bổ sung nội dung: Bộ trưởng BQP, Bộ trưởng bộ CA quyết định thành lập, giải thể trường cao đẳng thuộc lực lượng vũ trang</w:t>
            </w:r>
          </w:p>
        </w:tc>
        <w:tc>
          <w:tcPr>
            <w:tcW w:w="2409"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7</w:t>
            </w:r>
          </w:p>
        </w:tc>
        <w:tc>
          <w:tcPr>
            <w:tcW w:w="1833"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Điều 60 Luật Giáo dục năm 2019</w:t>
            </w:r>
          </w:p>
        </w:tc>
        <w:tc>
          <w:tcPr>
            <w:tcW w:w="432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Về thẩm quyền quyết định thành lập trường Cao đẳng. Đề nghị bổ sung 01 khoản: Bộ trưởng BQP và Bộ trưởng Bộ CA quy định cụ thể nhiệm vụ và quyền hạn của các cơ sở giáo dục thuộc LLVT</w:t>
            </w:r>
          </w:p>
        </w:tc>
        <w:tc>
          <w:tcPr>
            <w:tcW w:w="2409"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8</w:t>
            </w:r>
          </w:p>
        </w:tc>
        <w:tc>
          <w:tcPr>
            <w:tcW w:w="1833"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Điều 52 Luật Giáo dục năm 2019</w:t>
            </w:r>
          </w:p>
        </w:tc>
        <w:tc>
          <w:tcPr>
            <w:tcW w:w="432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Thẩm quyền quyết định thành lập, cho phép hoạt động, đình chỉ hoạt động giáo dục; sáp nhập, chia tách, giải thể các trường cao đẳng.  Đề nghị bổ sung nội sung: Bộ trưởng BQP quyết định thành lập, cho phép hoạt động, đình chỉ hoạt động giáo dục; sáp nhập, chia tách, giải thể các trường cao đẳng, các cơ sở giáo dục mầm non thuộc BQP</w:t>
            </w:r>
          </w:p>
        </w:tc>
        <w:tc>
          <w:tcPr>
            <w:tcW w:w="2409"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9</w:t>
            </w:r>
          </w:p>
        </w:tc>
        <w:tc>
          <w:tcPr>
            <w:tcW w:w="1833"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Điều 11 Luật Giáo dục nghề nghiệp năm 2014</w:t>
            </w:r>
          </w:p>
        </w:tc>
        <w:tc>
          <w:tcPr>
            <w:tcW w:w="432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Việc tổ chức hội đồng trường, đề nghị bổ sung nội dung: Không tổ chức hội đồng trường trong các cơ sở giáo dục nghề nghiệp thuộc BQP</w:t>
            </w:r>
          </w:p>
        </w:tc>
        <w:tc>
          <w:tcPr>
            <w:tcW w:w="2409"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10</w:t>
            </w:r>
          </w:p>
        </w:tc>
        <w:tc>
          <w:tcPr>
            <w:tcW w:w="1833"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Khoản 1 Điều 48 Luật Giáo dục năm 2019</w:t>
            </w:r>
          </w:p>
        </w:tc>
        <w:tc>
          <w:tcPr>
            <w:tcW w:w="432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Tổ chức hoạt động, quyền hạn của nhà trường thuộc cơ quan nhà nước, tổ chức chính trị, tổ chức chính trị - xã hội, lực lượng vũ trang nhân dân. Đề nghị bổ sung nội dung: … Trường của LLVT nhân dân có nhiệm vụ đào tạo bồi dưỡng sĩ quan, hạ sĩ quan, QNCN và CN&amp;VCQP; bồi dưỡng cán bộ lãnh đạo, cán bộ quản lý nhà nước về nhiệm vụ và kiến thức QPAN; chăm sóc nuôi dưỡng giáo dục trẻ trong cơ sở giáo dục mầm non thuộc Quân đội, Công an</w:t>
            </w:r>
          </w:p>
        </w:tc>
        <w:tc>
          <w:tcPr>
            <w:tcW w:w="2409"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11</w:t>
            </w:r>
          </w:p>
        </w:tc>
        <w:tc>
          <w:tcPr>
            <w:tcW w:w="1833" w:type="dxa"/>
            <w:vAlign w:val="center"/>
          </w:tcPr>
          <w:p w:rsidR="00F00B09" w:rsidRPr="00F00B09" w:rsidRDefault="00F00B09" w:rsidP="00F00B09">
            <w:pPr>
              <w:jc w:val="center"/>
              <w:rPr>
                <w:rFonts w:ascii="Times" w:eastAsia="Times New Roman" w:hAnsi="Times" w:cs="Times"/>
              </w:rPr>
            </w:pPr>
            <w:r w:rsidRPr="00F00B09">
              <w:rPr>
                <w:rFonts w:ascii="Times" w:eastAsia="Times New Roman" w:hAnsi="Times" w:cs="Times"/>
              </w:rPr>
              <w:t>Điều 5 Luật Giáo dục nghề nghiệp năm 2014</w:t>
            </w:r>
          </w:p>
        </w:tc>
        <w:tc>
          <w:tcPr>
            <w:tcW w:w="432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Bổ sung 01 khoản: Cơ sở giáo dục đại học của lực lượng vũ trang được đào tạo trình độ giáo dục nghề nghiệp các ngành, nghề thuộc lĩnh vực an ninh, quốc phòng.</w:t>
            </w:r>
          </w:p>
        </w:tc>
        <w:tc>
          <w:tcPr>
            <w:tcW w:w="2409"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 xml:space="preserve"> 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12</w:t>
            </w:r>
          </w:p>
        </w:tc>
        <w:tc>
          <w:tcPr>
            <w:tcW w:w="1833" w:type="dxa"/>
            <w:vAlign w:val="center"/>
          </w:tcPr>
          <w:p w:rsidR="00F00B09" w:rsidRPr="00F00B09" w:rsidRDefault="00F00B09" w:rsidP="00F00B09">
            <w:pPr>
              <w:jc w:val="center"/>
              <w:rPr>
                <w:rFonts w:ascii="Times" w:eastAsia="Times New Roman" w:hAnsi="Times" w:cs="Times"/>
              </w:rPr>
            </w:pPr>
            <w:r w:rsidRPr="00F00B09">
              <w:rPr>
                <w:rFonts w:ascii="Times" w:eastAsia="Times New Roman" w:hAnsi="Times" w:cs="Times"/>
              </w:rPr>
              <w:t>Điểm a khoản 4 Điều 2 Nghị định 143/2016/NĐ-CP ngày 16/10/2016</w:t>
            </w:r>
          </w:p>
        </w:tc>
        <w:tc>
          <w:tcPr>
            <w:tcW w:w="432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Thẩm quyền thành lập trường cao đẳng; đề nghị bổ sung nội dung: 4.Nghị định này không áp dụng đối với: a) Việc thành lập, cho phép thành…; các cơ sở giáo dục nghề nghiệp thuộc lực lượng vũ trang</w:t>
            </w:r>
          </w:p>
        </w:tc>
        <w:tc>
          <w:tcPr>
            <w:tcW w:w="2409"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13</w:t>
            </w:r>
          </w:p>
        </w:tc>
        <w:tc>
          <w:tcPr>
            <w:tcW w:w="1833" w:type="dxa"/>
            <w:vAlign w:val="center"/>
          </w:tcPr>
          <w:p w:rsidR="00F00B09" w:rsidRPr="00F00B09" w:rsidRDefault="00F00B09" w:rsidP="00F00B09">
            <w:pPr>
              <w:rPr>
                <w:rFonts w:ascii="Times" w:eastAsia="Times New Roman" w:hAnsi="Times" w:cs="Times"/>
              </w:rPr>
            </w:pPr>
            <w:r w:rsidRPr="00F00B09">
              <w:rPr>
                <w:rFonts w:ascii="Times" w:eastAsia="Times New Roman" w:hAnsi="Times" w:cs="Times"/>
              </w:rPr>
              <w:t>Điều 18 Luật Giáo dục nghề nghiệp 2014; Điều 7 Nghị định số 143/2016/NĐCP  ngày 14/10/2016</w:t>
            </w:r>
          </w:p>
        </w:tc>
        <w:tc>
          <w:tcPr>
            <w:tcW w:w="432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Thẩm quyền quyết định thành lập, cho phép hoạt động, đình chỉ hoạt động giáo dục; sáp nhập, chia tách, giải thể các trường cao đẳng. Đề nghị bổ sung nội dung: Bộ trưởng BQP quyết định thành lập, cho phép hoạt động, đình chỉ hoạt động giáo dục; sáp nhập, chia tách, giải thể các trường cao đẳng thuộc BQP</w:t>
            </w:r>
          </w:p>
        </w:tc>
        <w:tc>
          <w:tcPr>
            <w:tcW w:w="2409"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tr w:rsidR="00F00B09" w:rsidRPr="00C2353F" w:rsidTr="00F00B09">
        <w:trPr>
          <w:tblCellSpacing w:w="0" w:type="dxa"/>
        </w:trPr>
        <w:tc>
          <w:tcPr>
            <w:tcW w:w="532" w:type="dxa"/>
            <w:vAlign w:val="center"/>
          </w:tcPr>
          <w:p w:rsidR="00F00B09" w:rsidRPr="00C2353F" w:rsidRDefault="00F00B09" w:rsidP="00F00B09">
            <w:pPr>
              <w:spacing w:after="0"/>
              <w:jc w:val="center"/>
              <w:rPr>
                <w:rFonts w:ascii="Times" w:eastAsia="Times New Roman" w:hAnsi="Times" w:cs="Times"/>
              </w:rPr>
            </w:pPr>
            <w:r>
              <w:rPr>
                <w:rFonts w:ascii="Times" w:eastAsia="Times New Roman" w:hAnsi="Times" w:cs="Times"/>
              </w:rPr>
              <w:t>14</w:t>
            </w:r>
          </w:p>
        </w:tc>
        <w:tc>
          <w:tcPr>
            <w:tcW w:w="183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Thông tư số 26/2020/TT-BLĐTBXH ngày 30/12/2020</w:t>
            </w:r>
          </w:p>
        </w:tc>
        <w:tc>
          <w:tcPr>
            <w:tcW w:w="4323"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Thông tư ban hành năm 2020 đến nay cần điều chỉnh, bổ sung các ngành mới</w:t>
            </w:r>
          </w:p>
        </w:tc>
        <w:tc>
          <w:tcPr>
            <w:tcW w:w="2409" w:type="dxa"/>
            <w:vAlign w:val="center"/>
          </w:tcPr>
          <w:p w:rsidR="00F00B09" w:rsidRPr="00F00B09" w:rsidRDefault="00F00B09" w:rsidP="00F00B09">
            <w:pPr>
              <w:jc w:val="both"/>
              <w:rPr>
                <w:rFonts w:ascii="Times" w:eastAsia="Times New Roman" w:hAnsi="Times" w:cs="Times"/>
              </w:rPr>
            </w:pPr>
            <w:r w:rsidRPr="00F00B09">
              <w:rPr>
                <w:rFonts w:ascii="Times" w:eastAsia="Times New Roman" w:hAnsi="Times" w:cs="Times"/>
              </w:rPr>
              <w:t>C. Sửa đổi, bổ sung, thay thế, ban hành mới VBQPPL (theo trình tự, thủ tục rút gọn ban hành VBQPPL của Luật Ban hành VBQPPL).</w:t>
            </w:r>
          </w:p>
        </w:tc>
        <w:tc>
          <w:tcPr>
            <w:tcW w:w="1181" w:type="dxa"/>
          </w:tcPr>
          <w:p w:rsidR="00F00B09" w:rsidRDefault="00F00B09" w:rsidP="00F00B09">
            <w:r w:rsidRPr="009C2F88">
              <w:rPr>
                <w:rFonts w:ascii="Times" w:eastAsia="Times New Roman" w:hAnsi="Times" w:cs="Times"/>
              </w:rPr>
              <w:t>Bộ Quốc phòng</w:t>
            </w:r>
          </w:p>
        </w:tc>
        <w:tc>
          <w:tcPr>
            <w:tcW w:w="1513" w:type="dxa"/>
            <w:vAlign w:val="center"/>
          </w:tcPr>
          <w:p w:rsidR="00F00B09" w:rsidRPr="00C2353F" w:rsidRDefault="00F00B09" w:rsidP="00F00B09">
            <w:pPr>
              <w:spacing w:after="0"/>
              <w:rPr>
                <w:rFonts w:ascii="Times" w:eastAsia="Times New Roman" w:hAnsi="Times" w:cs="Times"/>
              </w:rPr>
            </w:pPr>
          </w:p>
        </w:tc>
        <w:tc>
          <w:tcPr>
            <w:tcW w:w="1181" w:type="dxa"/>
            <w:vAlign w:val="center"/>
          </w:tcPr>
          <w:p w:rsidR="00F00B09" w:rsidRPr="00C2353F" w:rsidRDefault="00F00B09" w:rsidP="00F00B09">
            <w:pPr>
              <w:spacing w:after="0"/>
              <w:rPr>
                <w:rFonts w:eastAsia="Times New Roman"/>
              </w:rPr>
            </w:pPr>
          </w:p>
        </w:tc>
        <w:tc>
          <w:tcPr>
            <w:tcW w:w="833" w:type="dxa"/>
            <w:vAlign w:val="center"/>
          </w:tcPr>
          <w:p w:rsidR="00F00B09" w:rsidRPr="00C2353F" w:rsidRDefault="00F00B09" w:rsidP="00F00B09">
            <w:pPr>
              <w:spacing w:after="0"/>
              <w:jc w:val="center"/>
              <w:rPr>
                <w:rFonts w:ascii="Times" w:eastAsia="Times New Roman" w:hAnsi="Times" w:cs="Times"/>
              </w:rPr>
            </w:pPr>
          </w:p>
        </w:tc>
      </w:tr>
      <w:bookmarkEnd w:id="0"/>
    </w:tbl>
    <w:p w:rsidR="00C2353F" w:rsidRDefault="00C2353F">
      <w:pPr>
        <w:spacing w:after="0"/>
        <w:rPr>
          <w:rFonts w:eastAsia="Times New Roman"/>
        </w:rPr>
      </w:pPr>
    </w:p>
    <w:sectPr w:rsidR="00C2353F" w:rsidSect="00F00B09">
      <w:pgSz w:w="15840" w:h="12240" w:orient="landscape"/>
      <w:pgMar w:top="1440" w:right="1440" w:bottom="993"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ntAwesom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useFELayout/>
    <w:compatSetting w:name="compatibilityMode" w:uri="http://schemas.microsoft.com/office/word" w:val="12"/>
  </w:compat>
  <w:rsids>
    <w:rsidRoot w:val="003D20D4"/>
    <w:rsid w:val="003D20D4"/>
    <w:rsid w:val="004B1FAF"/>
    <w:rsid w:val="00C2353F"/>
    <w:rsid w:val="00F00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C65CE2-8848-43A7-AFE5-2F2B5AB5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BalloonText">
    <w:name w:val="Balloon Text"/>
    <w:basedOn w:val="Normal"/>
    <w:link w:val="BalloonTextChar"/>
    <w:uiPriority w:val="99"/>
    <w:semiHidden/>
    <w:unhideWhenUsed/>
    <w:rsid w:val="00C235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5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478279">
      <w:marLeft w:val="0"/>
      <w:marRight w:val="0"/>
      <w:marTop w:val="0"/>
      <w:marBottom w:val="0"/>
      <w:divBdr>
        <w:top w:val="none" w:sz="0" w:space="0" w:color="auto"/>
        <w:left w:val="none" w:sz="0" w:space="0" w:color="auto"/>
        <w:bottom w:val="none" w:sz="0" w:space="0" w:color="auto"/>
        <w:right w:val="none" w:sz="0" w:space="0" w:color="auto"/>
      </w:divBdr>
      <w:divsChild>
        <w:div w:id="2064015615">
          <w:marLeft w:val="0"/>
          <w:marRight w:val="0"/>
          <w:marTop w:val="0"/>
          <w:marBottom w:val="0"/>
          <w:divBdr>
            <w:top w:val="none" w:sz="0" w:space="0" w:color="auto"/>
            <w:left w:val="none" w:sz="0" w:space="0" w:color="auto"/>
            <w:bottom w:val="none" w:sz="0" w:space="0" w:color="auto"/>
            <w:right w:val="none" w:sz="0" w:space="0" w:color="auto"/>
          </w:divBdr>
        </w:div>
      </w:divsChild>
    </w:div>
    <w:div w:id="1276860946">
      <w:marLeft w:val="0"/>
      <w:marRight w:val="0"/>
      <w:marTop w:val="0"/>
      <w:marBottom w:val="0"/>
      <w:divBdr>
        <w:top w:val="none" w:sz="0" w:space="0" w:color="auto"/>
        <w:left w:val="none" w:sz="0" w:space="0" w:color="auto"/>
        <w:bottom w:val="none" w:sz="0" w:space="0" w:color="auto"/>
        <w:right w:val="none" w:sz="0" w:space="0" w:color="auto"/>
      </w:divBdr>
      <w:divsChild>
        <w:div w:id="1118450110">
          <w:marLeft w:val="0"/>
          <w:marRight w:val="0"/>
          <w:marTop w:val="0"/>
          <w:marBottom w:val="0"/>
          <w:divBdr>
            <w:top w:val="none" w:sz="0" w:space="0" w:color="auto"/>
            <w:left w:val="none" w:sz="0" w:space="0" w:color="auto"/>
            <w:bottom w:val="none" w:sz="0" w:space="0" w:color="auto"/>
            <w:right w:val="none" w:sz="0" w:space="0" w:color="auto"/>
          </w:divBdr>
          <w:divsChild>
            <w:div w:id="14507803">
              <w:marLeft w:val="0"/>
              <w:marRight w:val="0"/>
              <w:marTop w:val="0"/>
              <w:marBottom w:val="0"/>
              <w:divBdr>
                <w:top w:val="none" w:sz="0" w:space="0" w:color="auto"/>
                <w:left w:val="none" w:sz="0" w:space="0" w:color="auto"/>
                <w:bottom w:val="none" w:sz="0" w:space="0" w:color="auto"/>
                <w:right w:val="none" w:sz="0" w:space="0" w:color="auto"/>
              </w:divBdr>
              <w:divsChild>
                <w:div w:id="565652183">
                  <w:marLeft w:val="0"/>
                  <w:marRight w:val="0"/>
                  <w:marTop w:val="0"/>
                  <w:marBottom w:val="0"/>
                  <w:divBdr>
                    <w:top w:val="none" w:sz="0" w:space="0" w:color="auto"/>
                    <w:left w:val="none" w:sz="0" w:space="0" w:color="auto"/>
                    <w:bottom w:val="none" w:sz="0" w:space="0" w:color="auto"/>
                    <w:right w:val="none" w:sz="0" w:space="0" w:color="auto"/>
                  </w:divBdr>
                  <w:divsChild>
                    <w:div w:id="135253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1318</Words>
  <Characters>7517</Characters>
  <Application>Microsoft Office Word</Application>
  <DocSecurity>0</DocSecurity>
  <Lines>62</Lines>
  <Paragraphs>17</Paragraphs>
  <ScaleCrop>false</ScaleCrop>
  <Company/>
  <LinksUpToDate>false</LinksUpToDate>
  <CharactersWithSpaces>8818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4</cp:revision>
  <cp:lastPrinted>2025-07-16T09:21:00Z</cp:lastPrinted>
  <dcterms:created xsi:type="dcterms:W3CDTF">2025-07-16T09:16:00Z</dcterms:created>
  <dcterms:modified xsi:type="dcterms:W3CDTF">2025-07-16T10:48:00Z</dcterms:modified>
</cp:coreProperties>
</file>